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kinsoku/>
        <w:wordWrap/>
        <w:overflowPunct/>
        <w:topLinePunct w:val="0"/>
        <w:autoSpaceDE/>
        <w:autoSpaceDN/>
        <w:bidi w:val="0"/>
        <w:spacing w:line="580" w:lineRule="exact"/>
        <w:ind w:left="0" w:leftChars="0"/>
        <w:jc w:val="center"/>
        <w:textAlignment w:val="auto"/>
        <w:rPr>
          <w:rFonts w:hint="eastAsia" w:ascii="仿宋" w:hAnsi="仿宋" w:eastAsia="仿宋" w:cs="仿宋"/>
          <w:b/>
          <w:bCs/>
          <w:color w:val="auto"/>
          <w:sz w:val="48"/>
          <w:szCs w:val="48"/>
          <w:lang w:val="en-US" w:eastAsia="zh-CN"/>
        </w:rPr>
      </w:pPr>
      <w:r>
        <w:rPr>
          <w:rFonts w:hint="eastAsia" w:ascii="仿宋" w:hAnsi="仿宋" w:eastAsia="仿宋" w:cs="仿宋"/>
          <w:b/>
          <w:bCs/>
          <w:color w:val="auto"/>
          <w:sz w:val="48"/>
          <w:szCs w:val="48"/>
        </w:rPr>
        <w:t>惠州市储备军粮供应公司</w:t>
      </w:r>
      <w:r>
        <w:rPr>
          <w:rFonts w:hint="eastAsia" w:ascii="仿宋" w:hAnsi="仿宋" w:eastAsia="仿宋" w:cs="仿宋"/>
          <w:b/>
          <w:bCs/>
          <w:color w:val="auto"/>
          <w:sz w:val="48"/>
          <w:szCs w:val="48"/>
          <w:lang w:val="en-US" w:eastAsia="zh-CN"/>
        </w:rPr>
        <w:t>直属库区道路</w:t>
      </w:r>
    </w:p>
    <w:p>
      <w:pPr>
        <w:jc w:val="center"/>
        <w:rPr>
          <w:rFonts w:hint="eastAsia" w:ascii="仿宋" w:hAnsi="仿宋" w:eastAsia="仿宋" w:cs="仿宋"/>
          <w:b/>
          <w:bCs/>
          <w:color w:val="auto"/>
          <w:sz w:val="48"/>
          <w:szCs w:val="48"/>
          <w:lang w:val="en-US" w:eastAsia="zh-CN"/>
        </w:rPr>
      </w:pPr>
      <w:r>
        <w:rPr>
          <w:rFonts w:hint="eastAsia" w:ascii="仿宋" w:hAnsi="仿宋" w:eastAsia="仿宋" w:cs="仿宋"/>
          <w:b/>
          <w:bCs/>
          <w:color w:val="auto"/>
          <w:sz w:val="48"/>
          <w:szCs w:val="48"/>
          <w:lang w:val="en-US" w:eastAsia="zh-CN"/>
        </w:rPr>
        <w:t>维修改造工程采购项目</w:t>
      </w:r>
    </w:p>
    <w:p>
      <w:pPr>
        <w:jc w:val="center"/>
        <w:rPr>
          <w:rFonts w:hint="eastAsia" w:ascii="仿宋" w:hAnsi="仿宋" w:eastAsia="仿宋" w:cs="仿宋"/>
          <w:b/>
          <w:bCs/>
          <w:color w:val="auto"/>
          <w:sz w:val="48"/>
          <w:szCs w:val="48"/>
          <w:lang w:val="en-US" w:eastAsia="zh-CN"/>
        </w:rPr>
      </w:pPr>
    </w:p>
    <w:p>
      <w:pPr>
        <w:jc w:val="center"/>
        <w:rPr>
          <w:rFonts w:hint="eastAsia" w:ascii="仿宋" w:hAnsi="仿宋" w:eastAsia="仿宋" w:cs="仿宋"/>
          <w:b/>
          <w:bCs/>
          <w:sz w:val="48"/>
          <w:szCs w:val="48"/>
          <w:lang w:val="en-US" w:eastAsia="zh-CN"/>
        </w:rPr>
      </w:pPr>
      <w:r>
        <w:rPr>
          <w:rFonts w:hint="eastAsia" w:ascii="仿宋" w:hAnsi="仿宋" w:eastAsia="仿宋" w:cs="仿宋"/>
          <w:b/>
          <w:bCs/>
          <w:sz w:val="48"/>
          <w:szCs w:val="48"/>
          <w:lang w:val="en-US" w:eastAsia="zh-CN"/>
        </w:rPr>
        <w:t>招标文件</w:t>
      </w: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val="0"/>
          <w:bCs w:val="0"/>
          <w:color w:val="auto"/>
          <w:sz w:val="44"/>
          <w:szCs w:val="44"/>
        </w:rPr>
      </w:pPr>
      <w:r>
        <w:rPr>
          <w:rFonts w:hint="eastAsia" w:ascii="仿宋" w:hAnsi="仿宋" w:eastAsia="仿宋" w:cs="仿宋"/>
          <w:b w:val="0"/>
          <w:bCs w:val="0"/>
          <w:color w:val="auto"/>
          <w:sz w:val="44"/>
          <w:szCs w:val="44"/>
          <w:lang w:val="en-US" w:eastAsia="zh-CN"/>
        </w:rPr>
        <w:t>招标人：</w:t>
      </w:r>
      <w:r>
        <w:rPr>
          <w:rFonts w:hint="eastAsia" w:ascii="仿宋" w:hAnsi="仿宋" w:eastAsia="仿宋" w:cs="仿宋"/>
          <w:b w:val="0"/>
          <w:bCs w:val="0"/>
          <w:color w:val="auto"/>
          <w:sz w:val="44"/>
          <w:szCs w:val="44"/>
        </w:rPr>
        <w:t>惠州市储备军粮供应公司</w:t>
      </w:r>
    </w:p>
    <w:p>
      <w:pPr>
        <w:jc w:val="center"/>
        <w:rPr>
          <w:rFonts w:hint="eastAsia" w:ascii="仿宋" w:hAnsi="仿宋" w:eastAsia="仿宋" w:cs="仿宋"/>
          <w:b w:val="0"/>
          <w:bCs w:val="0"/>
          <w:color w:val="auto"/>
          <w:sz w:val="44"/>
          <w:szCs w:val="44"/>
          <w:lang w:val="en-US" w:eastAsia="zh-CN"/>
        </w:rPr>
      </w:pPr>
      <w:r>
        <w:rPr>
          <w:rFonts w:hint="eastAsia" w:ascii="仿宋" w:hAnsi="仿宋" w:eastAsia="仿宋" w:cs="仿宋"/>
          <w:b w:val="0"/>
          <w:bCs w:val="0"/>
          <w:color w:val="auto"/>
          <w:sz w:val="44"/>
          <w:szCs w:val="44"/>
          <w:lang w:val="en-US" w:eastAsia="zh-CN"/>
        </w:rPr>
        <w:t>2021年7月</w:t>
      </w:r>
    </w:p>
    <w:p>
      <w:pPr>
        <w:jc w:val="center"/>
        <w:rPr>
          <w:rFonts w:hint="eastAsia" w:ascii="仿宋" w:hAnsi="仿宋" w:eastAsia="仿宋" w:cs="仿宋"/>
          <w:b w:val="0"/>
          <w:bCs w:val="0"/>
          <w:color w:val="auto"/>
          <w:sz w:val="44"/>
          <w:szCs w:val="44"/>
          <w:lang w:val="en-US" w:eastAsia="zh-CN"/>
        </w:rPr>
      </w:pPr>
    </w:p>
    <w:p>
      <w:pPr>
        <w:jc w:val="center"/>
        <w:rPr>
          <w:rFonts w:hint="eastAsia" w:ascii="仿宋" w:hAnsi="仿宋" w:eastAsia="仿宋" w:cs="仿宋"/>
          <w:b w:val="0"/>
          <w:bCs w:val="0"/>
          <w:color w:val="auto"/>
          <w:sz w:val="36"/>
          <w:szCs w:val="36"/>
          <w:lang w:val="en-US" w:eastAsia="zh-CN"/>
        </w:rPr>
      </w:pPr>
      <w:r>
        <w:rPr>
          <w:rFonts w:hint="eastAsia" w:ascii="仿宋" w:hAnsi="仿宋" w:eastAsia="仿宋" w:cs="仿宋"/>
          <w:b w:val="0"/>
          <w:bCs w:val="0"/>
          <w:color w:val="auto"/>
          <w:sz w:val="36"/>
          <w:szCs w:val="36"/>
          <w:lang w:val="en-US" w:eastAsia="zh-CN"/>
        </w:rPr>
        <w:t>目录</w:t>
      </w:r>
    </w:p>
    <w:p>
      <w:pPr>
        <w:numPr>
          <w:ilvl w:val="0"/>
          <w:numId w:val="1"/>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说明</w:t>
      </w:r>
    </w:p>
    <w:p>
      <w:pPr>
        <w:numPr>
          <w:ilvl w:val="0"/>
          <w:numId w:val="1"/>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项目内容</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技术要求</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投标人资格审查标准</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投标报价要求</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评标标准</w:t>
      </w:r>
    </w:p>
    <w:p>
      <w:pPr>
        <w:numPr>
          <w:ilvl w:val="0"/>
          <w:numId w:val="0"/>
        </w:numPr>
        <w:jc w:val="left"/>
        <w:rPr>
          <w:rFonts w:hint="eastAsia" w:ascii="仿宋" w:hAnsi="仿宋" w:eastAsia="仿宋" w:cs="仿宋"/>
          <w:b w:val="0"/>
          <w:bCs w:val="0"/>
          <w:color w:val="auto"/>
          <w:sz w:val="32"/>
          <w:szCs w:val="32"/>
          <w:lang w:val="en-US" w:eastAsia="zh-CN"/>
        </w:rPr>
      </w:pPr>
    </w:p>
    <w:p>
      <w:pPr>
        <w:numPr>
          <w:ilvl w:val="0"/>
          <w:numId w:val="2"/>
        </w:numPr>
        <w:jc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说明</w:t>
      </w:r>
    </w:p>
    <w:p>
      <w:pPr>
        <w:pStyle w:val="5"/>
        <w:keepNext w:val="0"/>
        <w:keepLines w:val="0"/>
        <w:pageBreakBefore w:val="0"/>
        <w:widowControl w:val="0"/>
        <w:kinsoku/>
        <w:wordWrap/>
        <w:overflowPunct/>
        <w:topLinePunct w:val="0"/>
        <w:autoSpaceDE/>
        <w:autoSpaceDN/>
        <w:bidi w:val="0"/>
        <w:spacing w:line="580" w:lineRule="exact"/>
        <w:ind w:left="0" w:leftChars="0"/>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1、项目名称：</w:t>
      </w:r>
      <w:r>
        <w:rPr>
          <w:rFonts w:hint="eastAsia" w:ascii="仿宋" w:hAnsi="仿宋" w:eastAsia="仿宋" w:cs="仿宋"/>
          <w:b w:val="0"/>
          <w:bCs w:val="0"/>
          <w:color w:val="auto"/>
          <w:sz w:val="32"/>
          <w:szCs w:val="32"/>
        </w:rPr>
        <w:t>惠州市储备军粮供应公司</w:t>
      </w:r>
      <w:r>
        <w:rPr>
          <w:rFonts w:hint="eastAsia" w:ascii="仿宋" w:hAnsi="仿宋" w:eastAsia="仿宋" w:cs="仿宋"/>
          <w:b w:val="0"/>
          <w:bCs w:val="0"/>
          <w:color w:val="auto"/>
          <w:sz w:val="32"/>
          <w:szCs w:val="32"/>
          <w:lang w:val="en-US" w:eastAsia="zh-CN"/>
        </w:rPr>
        <w:t>直属库区道路</w:t>
      </w:r>
    </w:p>
    <w:p>
      <w:pPr>
        <w:numPr>
          <w:ilvl w:val="0"/>
          <w:numId w:val="0"/>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维修改造工程</w:t>
      </w:r>
    </w:p>
    <w:p>
      <w:pPr>
        <w:numPr>
          <w:ilvl w:val="0"/>
          <w:numId w:val="3"/>
        </w:numPr>
        <w:ind w:left="480" w:leftChars="0" w:firstLine="0" w:firstLineChars="0"/>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项目地点：惠州市仲恺高新区陈江街道南华路110号</w:t>
      </w:r>
    </w:p>
    <w:p>
      <w:pPr>
        <w:numPr>
          <w:ilvl w:val="0"/>
          <w:numId w:val="3"/>
        </w:numPr>
        <w:ind w:left="480" w:leftChars="0" w:firstLine="0" w:firstLineChars="0"/>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项目预算：77万元</w:t>
      </w:r>
    </w:p>
    <w:p>
      <w:pPr>
        <w:numPr>
          <w:ilvl w:val="0"/>
          <w:numId w:val="0"/>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4、项目工期：30天（自合同签订之日起）</w:t>
      </w:r>
    </w:p>
    <w:p>
      <w:pPr>
        <w:numPr>
          <w:ilvl w:val="0"/>
          <w:numId w:val="0"/>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5、招标方式：公开招标</w:t>
      </w:r>
    </w:p>
    <w:p>
      <w:pPr>
        <w:numPr>
          <w:ilvl w:val="0"/>
          <w:numId w:val="0"/>
        </w:numPr>
        <w:jc w:val="left"/>
        <w:rPr>
          <w:rFonts w:hint="eastAsia" w:ascii="仿宋" w:hAnsi="仿宋" w:eastAsia="仿宋" w:cs="仿宋"/>
          <w:b w:val="0"/>
          <w:bCs w:val="0"/>
          <w:color w:val="auto"/>
          <w:sz w:val="32"/>
          <w:szCs w:val="32"/>
          <w:lang w:val="en-US" w:eastAsia="zh-CN"/>
        </w:rPr>
      </w:pPr>
    </w:p>
    <w:p>
      <w:pPr>
        <w:numPr>
          <w:ilvl w:val="0"/>
          <w:numId w:val="2"/>
        </w:numPr>
        <w:ind w:left="0" w:leftChars="0" w:firstLine="0" w:firstLineChars="0"/>
        <w:jc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项目内容</w:t>
      </w:r>
    </w:p>
    <w:p>
      <w:pPr>
        <w:numPr>
          <w:ilvl w:val="0"/>
          <w:numId w:val="0"/>
        </w:numPr>
        <w:ind w:leftChars="0"/>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详见附件：道路维修改造工程量清单</w:t>
      </w:r>
    </w:p>
    <w:p>
      <w:pPr>
        <w:numPr>
          <w:ilvl w:val="0"/>
          <w:numId w:val="2"/>
        </w:numPr>
        <w:ind w:left="0" w:leftChars="0" w:firstLine="0" w:firstLineChars="0"/>
        <w:jc w:val="center"/>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技术要求</w:t>
      </w:r>
    </w:p>
    <w:p>
      <w:pPr>
        <w:numPr>
          <w:ilvl w:val="0"/>
          <w:numId w:val="0"/>
        </w:numPr>
        <w:ind w:leftChars="0" w:firstLine="640" w:firstLineChars="200"/>
        <w:jc w:val="both"/>
        <w:rPr>
          <w:rFonts w:hint="default" w:ascii="仿宋" w:hAnsi="仿宋" w:eastAsia="仿宋" w:cs="仿宋"/>
          <w:b w:val="0"/>
          <w:bCs w:val="0"/>
          <w:color w:val="auto"/>
          <w:sz w:val="32"/>
          <w:szCs w:val="32"/>
          <w:lang w:val="en-US" w:eastAsia="zh-CN"/>
        </w:rPr>
      </w:pPr>
      <w:r>
        <w:rPr>
          <w:rFonts w:hint="eastAsia" w:ascii="仿宋" w:hAnsi="仿宋" w:eastAsia="仿宋" w:cs="仿宋"/>
          <w:color w:val="auto"/>
          <w:sz w:val="32"/>
          <w:szCs w:val="32"/>
          <w:lang w:val="en-US" w:eastAsia="zh-CN"/>
        </w:rPr>
        <w:t>本项目</w:t>
      </w:r>
      <w:r>
        <w:rPr>
          <w:rFonts w:hint="eastAsia" w:ascii="仿宋" w:hAnsi="仿宋" w:eastAsia="仿宋" w:cs="仿宋"/>
          <w:color w:val="auto"/>
          <w:sz w:val="32"/>
          <w:szCs w:val="32"/>
          <w:lang w:val="hr-HR" w:eastAsia="zh-CN"/>
        </w:rPr>
        <w:t>工程要求严格按照国家有关施工技术标准及验收规范进行施工，符合国家颁发的有关质量评验标准，工程质量等级为合格。</w:t>
      </w:r>
    </w:p>
    <w:p>
      <w:pPr>
        <w:numPr>
          <w:ilvl w:val="0"/>
          <w:numId w:val="0"/>
        </w:numPr>
        <w:jc w:val="left"/>
        <w:rPr>
          <w:rFonts w:hint="default" w:ascii="仿宋" w:hAnsi="仿宋" w:eastAsia="仿宋" w:cs="仿宋"/>
          <w:b w:val="0"/>
          <w:bCs w:val="0"/>
          <w:color w:val="auto"/>
          <w:sz w:val="32"/>
          <w:szCs w:val="32"/>
          <w:lang w:val="en-US" w:eastAsia="zh-CN"/>
        </w:rPr>
      </w:pPr>
    </w:p>
    <w:p>
      <w:pPr>
        <w:numPr>
          <w:ilvl w:val="0"/>
          <w:numId w:val="2"/>
        </w:numPr>
        <w:ind w:left="0" w:leftChars="0" w:firstLine="0" w:firstLineChars="0"/>
        <w:jc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投标人资格审查标准</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sz w:val="32"/>
          <w:szCs w:val="32"/>
          <w:lang w:val="en-US" w:eastAsia="zh-CN"/>
        </w:rPr>
        <w:t>1、具有独立承担民事责任能力的企业法人</w:t>
      </w:r>
      <w:r>
        <w:rPr>
          <w:rFonts w:hint="eastAsia" w:ascii="仿宋" w:hAnsi="仿宋" w:eastAsia="仿宋" w:cs="仿宋"/>
          <w:color w:val="auto"/>
          <w:sz w:val="32"/>
          <w:szCs w:val="32"/>
        </w:rPr>
        <w:t>；</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2、具备建筑工程施工总承包三级及以上资质等级的施工企业，拟派项目经理需具备建筑工程专业贰级及以上注册建造师证，并在人员、设备、资金等方面具有承担本工程施工的能力；</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具有良好的</w:t>
      </w:r>
      <w:r>
        <w:rPr>
          <w:rFonts w:hint="eastAsia" w:ascii="仿宋" w:hAnsi="仿宋" w:eastAsia="仿宋" w:cs="仿宋"/>
          <w:color w:val="auto"/>
          <w:sz w:val="32"/>
          <w:szCs w:val="32"/>
          <w:lang w:val="en-US" w:eastAsia="zh-CN"/>
        </w:rPr>
        <w:t>社会</w:t>
      </w:r>
      <w:r>
        <w:rPr>
          <w:rFonts w:hint="eastAsia" w:ascii="仿宋" w:hAnsi="仿宋" w:eastAsia="仿宋" w:cs="仿宋"/>
          <w:color w:val="auto"/>
          <w:sz w:val="32"/>
          <w:szCs w:val="32"/>
        </w:rPr>
        <w:t>信誉和</w:t>
      </w:r>
      <w:r>
        <w:rPr>
          <w:rFonts w:hint="eastAsia" w:ascii="仿宋" w:hAnsi="仿宋" w:eastAsia="仿宋" w:cs="仿宋"/>
          <w:color w:val="auto"/>
          <w:sz w:val="32"/>
          <w:szCs w:val="32"/>
          <w:lang w:val="en-US" w:eastAsia="zh-CN"/>
        </w:rPr>
        <w:t>财务状况</w:t>
      </w:r>
      <w:r>
        <w:rPr>
          <w:rFonts w:hint="eastAsia" w:ascii="仿宋" w:hAnsi="仿宋" w:eastAsia="仿宋" w:cs="仿宋"/>
          <w:color w:val="auto"/>
          <w:sz w:val="32"/>
          <w:szCs w:val="32"/>
        </w:rPr>
        <w:t>；</w:t>
      </w:r>
    </w:p>
    <w:p>
      <w:pPr>
        <w:pStyle w:val="2"/>
        <w:keepNext w:val="0"/>
        <w:keepLines w:val="0"/>
        <w:pageBreakBefore w:val="0"/>
        <w:widowControl/>
        <w:suppressLineNumbers w:val="0"/>
        <w:kinsoku/>
        <w:wordWrap/>
        <w:overflowPunct/>
        <w:topLinePunct w:val="0"/>
        <w:autoSpaceDE/>
        <w:autoSpaceDN/>
        <w:bidi w:val="0"/>
        <w:spacing w:before="0" w:beforeAutospacing="0" w:after="0" w:afterAutospacing="0" w:line="600" w:lineRule="exact"/>
        <w:ind w:right="0"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4、具备企业安全生产许可证；</w:t>
      </w:r>
    </w:p>
    <w:p>
      <w:pPr>
        <w:pStyle w:val="2"/>
        <w:keepNext w:val="0"/>
        <w:keepLines w:val="0"/>
        <w:pageBreakBefore w:val="0"/>
        <w:widowControl/>
        <w:suppressLineNumbers w:val="0"/>
        <w:kinsoku/>
        <w:wordWrap/>
        <w:overflowPunct/>
        <w:topLinePunct w:val="0"/>
        <w:autoSpaceDE/>
        <w:autoSpaceDN/>
        <w:bidi w:val="0"/>
        <w:spacing w:before="0" w:beforeAutospacing="0" w:after="0" w:afterAutospacing="0" w:line="600" w:lineRule="exact"/>
        <w:ind w:right="0"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5、参加采购活动前三年内，在经营活动中无安全事故和质量事故，且没有重大违法的记录；</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6、不接受有不良行为记录且在限制市场准入处罚有效期内的企业投标；</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7、本项目不接受联合体投标。</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p>
    <w:p>
      <w:pPr>
        <w:pStyle w:val="5"/>
        <w:keepNext w:val="0"/>
        <w:keepLines w:val="0"/>
        <w:pageBreakBefore w:val="0"/>
        <w:widowControl w:val="0"/>
        <w:numPr>
          <w:ilvl w:val="0"/>
          <w:numId w:val="2"/>
        </w:numPr>
        <w:kinsoku/>
        <w:wordWrap/>
        <w:overflowPunct/>
        <w:topLinePunct w:val="0"/>
        <w:autoSpaceDE/>
        <w:autoSpaceDN/>
        <w:bidi w:val="0"/>
        <w:adjustRightInd w:val="0"/>
        <w:snapToGrid w:val="0"/>
        <w:spacing w:line="600" w:lineRule="exact"/>
        <w:ind w:left="0" w:leftChars="0" w:firstLine="0" w:firstLineChars="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投标报价要求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报</w:t>
      </w:r>
      <w:r>
        <w:rPr>
          <w:rFonts w:hint="eastAsia" w:ascii="仿宋" w:hAnsi="仿宋" w:eastAsia="仿宋" w:cs="仿宋"/>
          <w:sz w:val="32"/>
          <w:szCs w:val="32"/>
          <w:lang w:val="en-US" w:eastAsia="zh-CN"/>
        </w:rPr>
        <w:t>价时间：</w:t>
      </w:r>
      <w:r>
        <w:rPr>
          <w:rFonts w:hint="eastAsia" w:ascii="仿宋" w:hAnsi="仿宋" w:eastAsia="仿宋" w:cs="仿宋"/>
          <w:kern w:val="2"/>
          <w:sz w:val="32"/>
          <w:szCs w:val="32"/>
          <w:lang w:val="en-US" w:eastAsia="zh-CN" w:bidi="ar-SA"/>
        </w:rPr>
        <w:t>请有意参与项目</w:t>
      </w:r>
      <w:r>
        <w:rPr>
          <w:rFonts w:hint="eastAsia" w:ascii="仿宋" w:hAnsi="仿宋" w:eastAsia="仿宋" w:cs="仿宋"/>
          <w:sz w:val="32"/>
          <w:szCs w:val="32"/>
          <w:lang w:val="en-US" w:eastAsia="zh-CN"/>
        </w:rPr>
        <w:t>采购</w:t>
      </w:r>
      <w:r>
        <w:rPr>
          <w:rFonts w:hint="eastAsia" w:ascii="仿宋" w:hAnsi="仿宋" w:eastAsia="仿宋" w:cs="仿宋"/>
          <w:kern w:val="2"/>
          <w:sz w:val="32"/>
          <w:szCs w:val="32"/>
          <w:lang w:val="en-US" w:eastAsia="zh-CN" w:bidi="ar-SA"/>
        </w:rPr>
        <w:t>报价的合格供应商，于2021年7月28日前，将加盖单位公章的采购项目报价书及相关资质文件密封完好邮寄本公司。</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2、报价有关</w:t>
      </w:r>
      <w:r>
        <w:rPr>
          <w:rFonts w:hint="eastAsia" w:ascii="仿宋" w:hAnsi="仿宋" w:eastAsia="仿宋" w:cs="仿宋"/>
          <w:sz w:val="32"/>
          <w:szCs w:val="32"/>
        </w:rPr>
        <w:t>材料</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（1）供应商</w:t>
      </w:r>
      <w:r>
        <w:rPr>
          <w:rFonts w:hint="eastAsia" w:ascii="仿宋" w:hAnsi="仿宋" w:eastAsia="仿宋" w:cs="仿宋"/>
          <w:sz w:val="32"/>
          <w:szCs w:val="32"/>
        </w:rPr>
        <w:t>的基本情况。包括单位简况、营业范围、资质情况</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安全生产许可证、企业信用报告、</w:t>
      </w:r>
      <w:r>
        <w:rPr>
          <w:rFonts w:hint="eastAsia" w:ascii="仿宋" w:hAnsi="仿宋" w:eastAsia="仿宋" w:cs="仿宋"/>
          <w:color w:val="auto"/>
          <w:sz w:val="32"/>
          <w:szCs w:val="32"/>
          <w:lang w:val="en-US" w:eastAsia="zh-CN"/>
        </w:rPr>
        <w:t>企业</w:t>
      </w:r>
      <w:r>
        <w:rPr>
          <w:rFonts w:hint="eastAsia" w:ascii="仿宋" w:hAnsi="仿宋" w:eastAsia="仿宋" w:cs="仿宋"/>
          <w:color w:val="auto"/>
          <w:sz w:val="32"/>
          <w:szCs w:val="32"/>
        </w:rPr>
        <w:t>法人身份证复印件</w:t>
      </w:r>
      <w:r>
        <w:rPr>
          <w:rFonts w:hint="eastAsia" w:ascii="仿宋" w:hAnsi="仿宋" w:eastAsia="仿宋" w:cs="仿宋"/>
          <w:color w:val="auto"/>
          <w:sz w:val="32"/>
          <w:szCs w:val="32"/>
          <w:lang w:eastAsia="zh-CN"/>
        </w:rPr>
        <w:t>，</w:t>
      </w:r>
      <w:r>
        <w:rPr>
          <w:rFonts w:hint="eastAsia" w:ascii="仿宋" w:hAnsi="仿宋" w:eastAsia="仿宋" w:cs="仿宋"/>
          <w:sz w:val="32"/>
          <w:szCs w:val="32"/>
        </w:rPr>
        <w:t>以及参加本项目前三年内，在经营活动中无重大违法记录的书面声明；</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同类业绩（附合同等相关证明材料）；</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（3）采购项目</w:t>
      </w:r>
      <w:r>
        <w:rPr>
          <w:rFonts w:hint="eastAsia" w:ascii="仿宋" w:hAnsi="仿宋" w:eastAsia="仿宋" w:cs="仿宋"/>
          <w:sz w:val="32"/>
          <w:szCs w:val="32"/>
        </w:rPr>
        <w:t>报价</w:t>
      </w:r>
      <w:r>
        <w:rPr>
          <w:rFonts w:hint="eastAsia" w:ascii="仿宋" w:hAnsi="仿宋" w:eastAsia="仿宋" w:cs="仿宋"/>
          <w:sz w:val="32"/>
          <w:szCs w:val="32"/>
          <w:lang w:val="en-US" w:eastAsia="zh-CN"/>
        </w:rPr>
        <w:t>书</w:t>
      </w:r>
      <w:r>
        <w:rPr>
          <w:rFonts w:hint="eastAsia" w:ascii="仿宋" w:hAnsi="仿宋" w:eastAsia="仿宋" w:cs="仿宋"/>
          <w:sz w:val="32"/>
          <w:szCs w:val="32"/>
          <w:lang w:eastAsia="zh-CN"/>
        </w:rPr>
        <w:t>（</w:t>
      </w:r>
      <w:r>
        <w:rPr>
          <w:rFonts w:hint="eastAsia" w:ascii="仿宋" w:hAnsi="仿宋" w:eastAsia="仿宋" w:cs="仿宋"/>
          <w:sz w:val="32"/>
          <w:szCs w:val="32"/>
        </w:rPr>
        <w:t>提出收费标准和依据</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lang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left="0" w:leftChars="0" w:firstLine="0" w:firstLineChars="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评标标准</w:t>
      </w:r>
    </w:p>
    <w:tbl>
      <w:tblPr>
        <w:tblW w:w="88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668"/>
        <w:gridCol w:w="1505"/>
        <w:gridCol w:w="5565"/>
        <w:gridCol w:w="10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6" w:hRule="atLeast"/>
        </w:trPr>
        <w:tc>
          <w:tcPr>
            <w:tcW w:w="668" w:type="dxa"/>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序号</w:t>
            </w:r>
          </w:p>
        </w:tc>
        <w:tc>
          <w:tcPr>
            <w:tcW w:w="1505" w:type="dxa"/>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评分因素</w:t>
            </w:r>
          </w:p>
        </w:tc>
        <w:tc>
          <w:tcPr>
            <w:tcW w:w="5565" w:type="dxa"/>
            <w:tcBorders>
              <w:top w:val="single" w:color="000000" w:sz="4" w:space="0"/>
              <w:left w:val="single" w:color="000000" w:sz="4" w:space="0"/>
              <w:bottom w:val="single" w:color="000000" w:sz="4" w:space="0"/>
              <w:right w:val="single" w:color="000000" w:sz="4" w:space="0"/>
            </w:tcBorders>
            <w:shd w:val="clear"/>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评审细则</w:t>
            </w:r>
          </w:p>
        </w:tc>
        <w:tc>
          <w:tcPr>
            <w:tcW w:w="1081" w:type="dxa"/>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123"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项目业绩</w:t>
            </w:r>
          </w:p>
        </w:tc>
        <w:tc>
          <w:tcPr>
            <w:tcW w:w="5565" w:type="dxa"/>
            <w:tcBorders>
              <w:top w:val="single" w:color="000000" w:sz="4" w:space="0"/>
              <w:left w:val="single" w:color="000000" w:sz="4" w:space="0"/>
              <w:bottom w:val="single" w:color="000000" w:sz="4" w:space="0"/>
              <w:right w:val="single" w:color="000000" w:sz="4" w:space="0"/>
            </w:tcBorders>
            <w:shd w:val="clear"/>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投标人自2018年1月1日至今承担类似项目业绩且单项合同金额大于或等于30万的，每个得3分，满分9分。（需提供合同关键页复印件、业绩时间以合同签订时间为准，无提供不得分）</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22"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企业实力</w:t>
            </w:r>
          </w:p>
        </w:tc>
        <w:tc>
          <w:tcPr>
            <w:tcW w:w="5565" w:type="dxa"/>
            <w:tcBorders>
              <w:top w:val="single" w:color="000000" w:sz="4" w:space="0"/>
              <w:left w:val="single" w:color="000000" w:sz="4" w:space="0"/>
              <w:bottom w:val="single" w:color="000000" w:sz="4" w:space="0"/>
              <w:right w:val="single" w:color="000000" w:sz="4" w:space="0"/>
            </w:tcBorders>
            <w:shd w:val="clear"/>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投标人提供企业建筑工程施工资质、人员素质及财务管理状况、企业荣誉等证明材料。（优得9分，良得6分，一般得3分，无提供不得分）</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55"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纳税信用等级</w:t>
            </w:r>
          </w:p>
        </w:tc>
        <w:tc>
          <w:tcPr>
            <w:tcW w:w="5565" w:type="dxa"/>
            <w:tcBorders>
              <w:top w:val="single" w:color="000000" w:sz="4" w:space="0"/>
              <w:left w:val="single" w:color="000000" w:sz="4" w:space="0"/>
              <w:bottom w:val="single" w:color="000000" w:sz="4" w:space="0"/>
              <w:right w:val="single" w:color="000000" w:sz="4" w:space="0"/>
            </w:tcBorders>
            <w:shd w:val="clear"/>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根据投标人2020年度税务管理部门公布的纳税信用等级进行评分，A级得3分，B或M级得2分，C级及以下得1分。（需提供纳税信用等级证明材料，无提供不得分。）</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89"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售后服务</w:t>
            </w:r>
          </w:p>
        </w:tc>
        <w:tc>
          <w:tcPr>
            <w:tcW w:w="5565" w:type="dxa"/>
            <w:tcBorders>
              <w:top w:val="single" w:color="000000" w:sz="4" w:space="0"/>
              <w:left w:val="single" w:color="000000" w:sz="4" w:space="0"/>
              <w:bottom w:val="single" w:color="000000" w:sz="4" w:space="0"/>
              <w:right w:val="single" w:color="000000" w:sz="4" w:space="0"/>
            </w:tcBorders>
            <w:shd w:val="clear"/>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根据投标人售后服务措施（包括服务便利性、技术支持时效性、保修承诺、服务响应时间、培训计划等）进行对比评分：优得3分，良得2分，一般得1分。</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66"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实施保障</w:t>
            </w:r>
          </w:p>
        </w:tc>
        <w:tc>
          <w:tcPr>
            <w:tcW w:w="5565" w:type="dxa"/>
            <w:tcBorders>
              <w:top w:val="single" w:color="000000" w:sz="4" w:space="0"/>
              <w:left w:val="single" w:color="000000" w:sz="4" w:space="0"/>
              <w:bottom w:val="single" w:color="000000" w:sz="4" w:space="0"/>
              <w:right w:val="single" w:color="000000" w:sz="4" w:space="0"/>
            </w:tcBorders>
            <w:shd w:val="clear"/>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根据投标人的项目实施方案（包括对本项目的合理建议，安装进度安排，安全措施，质量控制措施等）进行对比评分：优得14分，良得10分，一般得6分。</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67"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技术要求</w:t>
            </w:r>
          </w:p>
        </w:tc>
        <w:tc>
          <w:tcPr>
            <w:tcW w:w="5565" w:type="dxa"/>
            <w:tcBorders>
              <w:top w:val="single" w:color="000000" w:sz="4" w:space="0"/>
              <w:left w:val="single" w:color="000000" w:sz="4" w:space="0"/>
              <w:bottom w:val="single" w:color="000000" w:sz="4" w:space="0"/>
              <w:right w:val="single" w:color="000000" w:sz="4" w:space="0"/>
            </w:tcBorders>
            <w:shd w:val="clear"/>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对招标文件技术要求进行评分：每一项不符合扣2分，直至扣完为止，本项满分12分。</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6" w:hRule="atLeast"/>
        </w:trPr>
        <w:tc>
          <w:tcPr>
            <w:tcW w:w="0" w:type="auto"/>
            <w:gridSpan w:val="3"/>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428" w:hRule="atLeast"/>
        </w:trPr>
        <w:tc>
          <w:tcPr>
            <w:tcW w:w="8819" w:type="dxa"/>
            <w:gridSpan w:val="4"/>
            <w:tcBorders>
              <w:top w:val="single" w:color="000000" w:sz="4" w:space="0"/>
              <w:left w:val="nil"/>
              <w:bottom w:val="nil"/>
              <w:right w:val="nil"/>
            </w:tcBorders>
            <w:shd w:val="clear"/>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32"/>
                <w:szCs w:val="32"/>
                <w:u w:val="none"/>
              </w:rPr>
            </w:pPr>
            <w:r>
              <w:rPr>
                <w:rFonts w:hint="eastAsia" w:ascii="宋体" w:hAnsi="宋体" w:eastAsia="宋体" w:cs="宋体"/>
                <w:i w:val="0"/>
                <w:color w:val="000000"/>
                <w:kern w:val="0"/>
                <w:sz w:val="32"/>
                <w:szCs w:val="32"/>
                <w:u w:val="none"/>
                <w:bdr w:val="none" w:color="auto" w:sz="0" w:space="0"/>
                <w:lang w:val="en-US" w:eastAsia="zh-CN" w:bidi="ar"/>
              </w:rPr>
              <w:t>2、投标报价部分：取各投标人有效报价的平均值为评标基准值，对应基本分50分；各投标人的总报价与评标基准值相比每偏离±1%在基本分基础上减0.5分。不足1%的按插入法计算，结果保留2位小数。公式如下：50－｜（投标总报价－评标基准值）÷评标基准值｜×100×0.5。注：投标报价评分以投标人的总报价为依据，投标明细报价表中如有缺漏项，则视为此漏项含在其他项的报价中，由投标人自己承担。不再额外增补费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lef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lef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附件：道路维修改造工程量清单</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both"/>
        <w:textAlignment w:val="auto"/>
        <w:rPr>
          <w:rFonts w:hint="default" w:ascii="仿宋" w:hAnsi="仿宋" w:eastAsia="仿宋" w:cs="仿宋"/>
          <w:sz w:val="32"/>
          <w:szCs w:val="32"/>
          <w:lang w:val="en-US" w:eastAsia="zh-CN"/>
        </w:rPr>
      </w:pP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Chars="0"/>
        <w:jc w:val="left"/>
        <w:textAlignment w:val="auto"/>
        <w:rPr>
          <w:rFonts w:hint="default" w:ascii="仿宋" w:hAnsi="仿宋" w:eastAsia="仿宋" w:cs="仿宋"/>
          <w:sz w:val="32"/>
          <w:szCs w:val="32"/>
          <w:lang w:val="en-US" w:eastAsia="zh-CN"/>
        </w:rPr>
      </w:pPr>
    </w:p>
    <w:p>
      <w:pPr>
        <w:numPr>
          <w:ilvl w:val="0"/>
          <w:numId w:val="0"/>
        </w:numPr>
        <w:ind w:leftChars="0"/>
        <w:jc w:val="left"/>
        <w:rPr>
          <w:rFonts w:hint="default" w:ascii="仿宋" w:hAnsi="仿宋" w:eastAsia="仿宋" w:cs="仿宋"/>
          <w:b w:val="0"/>
          <w:bCs w:val="0"/>
          <w:color w:val="auto"/>
          <w:sz w:val="32"/>
          <w:szCs w:val="32"/>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C8286B1"/>
    <w:multiLevelType w:val="singleLevel"/>
    <w:tmpl w:val="FC8286B1"/>
    <w:lvl w:ilvl="0" w:tentative="0">
      <w:start w:val="1"/>
      <w:numFmt w:val="chineseCounting"/>
      <w:suff w:val="nothing"/>
      <w:lvlText w:val="%1、"/>
      <w:lvlJc w:val="left"/>
      <w:rPr>
        <w:rFonts w:hint="eastAsia"/>
      </w:rPr>
    </w:lvl>
  </w:abstractNum>
  <w:abstractNum w:abstractNumId="1">
    <w:nsid w:val="63F9681F"/>
    <w:multiLevelType w:val="singleLevel"/>
    <w:tmpl w:val="63F9681F"/>
    <w:lvl w:ilvl="0" w:tentative="0">
      <w:start w:val="1"/>
      <w:numFmt w:val="chineseCounting"/>
      <w:suff w:val="nothing"/>
      <w:lvlText w:val="%1、"/>
      <w:lvlJc w:val="left"/>
      <w:rPr>
        <w:rFonts w:hint="eastAsia"/>
      </w:rPr>
    </w:lvl>
  </w:abstractNum>
  <w:abstractNum w:abstractNumId="2">
    <w:nsid w:val="6FDDF1FF"/>
    <w:multiLevelType w:val="singleLevel"/>
    <w:tmpl w:val="6FDDF1FF"/>
    <w:lvl w:ilvl="0" w:tentative="0">
      <w:start w:val="2"/>
      <w:numFmt w:val="decimal"/>
      <w:suff w:val="nothing"/>
      <w:lvlText w:val="%1、"/>
      <w:lvlJc w:val="left"/>
      <w:pPr>
        <w:ind w:left="480" w:leftChars="0" w:firstLine="0" w:firstLineChars="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2F6F28"/>
    <w:rsid w:val="0ACC55F3"/>
    <w:rsid w:val="110C7523"/>
    <w:rsid w:val="16520951"/>
    <w:rsid w:val="1781132A"/>
    <w:rsid w:val="27A7414D"/>
    <w:rsid w:val="39A75A97"/>
    <w:rsid w:val="4B7F731F"/>
    <w:rsid w:val="5F7F3E17"/>
    <w:rsid w:val="77CD5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5">
    <w:name w:val="正文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2021-07-14T08:12:00Z</dcterms:created>
  <dc:creator>Kev1n</dc:creator>
  <cp:lastModifiedBy>刘书</cp:lastModifiedBy>
  <dcterms:modified xsi:type="dcterms:W3CDTF">2021-07-21T12:20:29Z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7D8380E367294DDE87BE095C91E16D63</vt:lpwstr>
  </property>
</Properties>
</file>